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49" w:rsidRDefault="003712F3">
      <w:bookmarkStart w:id="0" w:name="_GoBack"/>
      <w:bookmarkEnd w:id="0"/>
    </w:p>
    <w:p w:rsidR="000E4E74" w:rsidRPr="003F02AD" w:rsidRDefault="000E4E74" w:rsidP="000E4E74">
      <w:pPr>
        <w:pStyle w:val="Heading2"/>
        <w:jc w:val="center"/>
        <w:rPr>
          <w:rFonts w:ascii="Arial Narrow" w:hAnsi="Arial Narrow"/>
          <w:b/>
          <w:sz w:val="24"/>
        </w:rPr>
      </w:pPr>
      <w:bookmarkStart w:id="1" w:name="_Toc428371552"/>
      <w:bookmarkStart w:id="2" w:name="_Toc428794916"/>
      <w:bookmarkStart w:id="3" w:name="_Toc429985854"/>
      <w:bookmarkStart w:id="4" w:name="_Toc429985881"/>
      <w:r w:rsidRPr="003F02AD">
        <w:rPr>
          <w:rFonts w:ascii="Arial Narrow" w:hAnsi="Arial Narrow"/>
          <w:b/>
          <w:sz w:val="24"/>
        </w:rPr>
        <w:t>Dimensions of poverty, Vulnerability, and social protection in rural communities in Myanmar</w:t>
      </w:r>
      <w:bookmarkEnd w:id="1"/>
      <w:bookmarkEnd w:id="2"/>
      <w:bookmarkEnd w:id="3"/>
    </w:p>
    <w:bookmarkEnd w:id="4"/>
    <w:p w:rsidR="000E4E74" w:rsidRPr="003F02AD" w:rsidRDefault="003F02AD" w:rsidP="000E4E74">
      <w:pPr>
        <w:spacing w:before="300" w:after="40"/>
        <w:outlineLvl w:val="0"/>
        <w:rPr>
          <w:rFonts w:ascii="Arial Narrow" w:eastAsia="Times New Roman" w:hAnsi="Arial Narrow" w:cs="Arial"/>
        </w:rPr>
      </w:pPr>
      <w:r w:rsidRPr="003F02AD">
        <w:rPr>
          <w:rFonts w:ascii="Arial Narrow" w:hAnsi="Arial Narrow"/>
          <w:b/>
        </w:rPr>
        <w:t>Abstract</w:t>
      </w:r>
      <w:r w:rsidRPr="003F02AD">
        <w:rPr>
          <w:rFonts w:ascii="Arial Narrow" w:eastAsia="Times New Roman" w:hAnsi="Arial Narrow" w:cs="Times New Roman"/>
          <w:b/>
          <w:smallCaps/>
          <w:spacing w:val="5"/>
        </w:rPr>
        <w:t>:</w:t>
      </w:r>
      <w:r w:rsidR="000E4E74" w:rsidRPr="003F02AD">
        <w:rPr>
          <w:rFonts w:ascii="Calibri" w:eastAsia="Times New Roman" w:hAnsi="Calibri" w:cs="Times New Roman"/>
          <w:smallCaps/>
          <w:spacing w:val="5"/>
        </w:rPr>
        <w:t xml:space="preserve"> </w:t>
      </w:r>
      <w:r w:rsidR="000E4E74" w:rsidRPr="000E4E74">
        <w:rPr>
          <w:rFonts w:ascii="Arial Narrow" w:eastAsia="Times New Roman" w:hAnsi="Arial Narrow" w:cs="Times New Roman"/>
        </w:rPr>
        <w:t xml:space="preserve">research </w:t>
      </w:r>
      <w:r w:rsidR="000E4E74" w:rsidRPr="003F02AD">
        <w:rPr>
          <w:rFonts w:ascii="Arial Narrow" w:eastAsia="Times New Roman" w:hAnsi="Arial Narrow" w:cs="Times New Roman"/>
        </w:rPr>
        <w:t xml:space="preserve">jointly conducted by </w:t>
      </w:r>
      <w:r w:rsidR="000E4E74" w:rsidRPr="000E4E74">
        <w:rPr>
          <w:rFonts w:ascii="Arial Narrow" w:eastAsia="Times New Roman" w:hAnsi="Arial Narrow" w:cs="Times New Roman"/>
        </w:rPr>
        <w:t>the Department of Rural Development and the Social Policy and</w:t>
      </w:r>
      <w:r w:rsidR="000E4E74" w:rsidRPr="003F02AD">
        <w:rPr>
          <w:rFonts w:ascii="Arial Narrow" w:eastAsia="Times New Roman" w:hAnsi="Arial Narrow" w:cs="Times New Roman"/>
        </w:rPr>
        <w:t xml:space="preserve"> Poverty Research Group between January and June 2015 conducted 160 in-depth interviews and surveyed 22,000 households </w:t>
      </w:r>
      <w:r w:rsidR="000E4E74" w:rsidRPr="000E4E74">
        <w:rPr>
          <w:rFonts w:ascii="Arial Narrow" w:eastAsia="Times New Roman" w:hAnsi="Arial Narrow" w:cs="Arial"/>
        </w:rPr>
        <w:t xml:space="preserve">across all 14 States and Regions, plus Nay Pyi Taw Council, using a survey tool designed to capture key elements of household socio-economic status, livelihood practice, vulnerability, access to social assistance, and opinions on the dimensions, causes and proposed interventions for poverty and poverty reduction. The key findings of the research are </w:t>
      </w:r>
      <w:r w:rsidR="000E4E74" w:rsidRPr="003F02AD">
        <w:rPr>
          <w:rFonts w:ascii="Arial Narrow" w:eastAsia="Times New Roman" w:hAnsi="Arial Narrow" w:cs="Arial"/>
        </w:rPr>
        <w:t>as follows:</w:t>
      </w:r>
    </w:p>
    <w:p w:rsidR="000E4E74" w:rsidRPr="003F02AD" w:rsidRDefault="000E4E74" w:rsidP="000E4E74">
      <w:pPr>
        <w:pStyle w:val="ListParagraph"/>
        <w:numPr>
          <w:ilvl w:val="0"/>
          <w:numId w:val="2"/>
        </w:numPr>
        <w:jc w:val="both"/>
        <w:rPr>
          <w:rFonts w:ascii="Arial Narrow" w:eastAsia="Times New Roman" w:hAnsi="Arial Narrow" w:cs="Times New Roman"/>
        </w:rPr>
      </w:pPr>
      <w:r w:rsidRPr="003F02AD">
        <w:rPr>
          <w:rFonts w:ascii="Arial Narrow" w:eastAsia="Times New Roman" w:hAnsi="Arial Narrow" w:cs="Arial"/>
        </w:rPr>
        <w:t>Rural households primarily describe the dimensions and causes of poverty using the</w:t>
      </w:r>
      <w:r w:rsidRPr="003F02AD">
        <w:rPr>
          <w:rFonts w:ascii="Arial Narrow" w:eastAsia="Times New Roman" w:hAnsi="Arial Narrow" w:cs="Times New Roman"/>
        </w:rPr>
        <w:t xml:space="preserve"> paradigm of </w:t>
      </w:r>
      <w:r w:rsidRPr="003F02AD">
        <w:rPr>
          <w:rFonts w:ascii="Arial Narrow" w:eastAsia="Times New Roman" w:hAnsi="Arial Narrow" w:cs="Times New Roman"/>
          <w:b/>
        </w:rPr>
        <w:t>livelihoods</w:t>
      </w:r>
      <w:r w:rsidRPr="003F02AD">
        <w:rPr>
          <w:rFonts w:ascii="Arial Narrow" w:eastAsia="Times New Roman" w:hAnsi="Arial Narrow" w:cs="Times New Roman"/>
        </w:rPr>
        <w:t>, with income and asset paradigms being the second and third most frequently used descriptive paradigms. The conceptualization of poverty was significantly influenced by the household situation and context.</w:t>
      </w:r>
    </w:p>
    <w:p w:rsidR="003F02AD" w:rsidRPr="003F02AD" w:rsidRDefault="000E4E74" w:rsidP="000E4E74">
      <w:pPr>
        <w:pStyle w:val="ListParagraph"/>
        <w:numPr>
          <w:ilvl w:val="0"/>
          <w:numId w:val="2"/>
        </w:numPr>
        <w:jc w:val="both"/>
        <w:rPr>
          <w:rFonts w:ascii="Arial Narrow" w:eastAsia="Times New Roman" w:hAnsi="Arial Narrow" w:cs="Times New Roman"/>
        </w:rPr>
      </w:pPr>
      <w:r w:rsidRPr="000E4E74">
        <w:rPr>
          <w:rFonts w:ascii="Arial Narrow" w:eastAsia="Times New Roman" w:hAnsi="Arial Narrow" w:cs="Times New Roman"/>
        </w:rPr>
        <w:t xml:space="preserve">When indicating preference and prioritization for interventions to reduce poverty, rural households place a high priority on </w:t>
      </w:r>
      <w:r w:rsidRPr="000E4E74">
        <w:rPr>
          <w:rFonts w:ascii="Arial Narrow" w:eastAsia="Times New Roman" w:hAnsi="Arial Narrow" w:cs="Times New Roman"/>
          <w:b/>
        </w:rPr>
        <w:t>increased access to low and no-interest credit</w:t>
      </w:r>
      <w:r w:rsidRPr="000E4E74">
        <w:rPr>
          <w:rFonts w:ascii="Arial Narrow" w:eastAsia="Times New Roman" w:hAnsi="Arial Narrow" w:cs="Times New Roman"/>
        </w:rPr>
        <w:t xml:space="preserve"> (75% of all households), interventions which create livelihoods for youth (47% of all households), and micro-enterprise (36%), consistent with the descriptive paradigms relating poverty to livelihoods. </w:t>
      </w:r>
    </w:p>
    <w:p w:rsidR="003F02AD" w:rsidRPr="003F02AD" w:rsidRDefault="000E4E74" w:rsidP="000E4E74">
      <w:pPr>
        <w:pStyle w:val="ListParagraph"/>
        <w:numPr>
          <w:ilvl w:val="0"/>
          <w:numId w:val="2"/>
        </w:numPr>
        <w:jc w:val="both"/>
        <w:rPr>
          <w:rFonts w:ascii="Arial Narrow" w:eastAsia="Times New Roman" w:hAnsi="Arial Narrow" w:cs="Times New Roman"/>
        </w:rPr>
      </w:pPr>
      <w:r w:rsidRPr="000E4E74">
        <w:rPr>
          <w:rFonts w:ascii="Arial Narrow" w:eastAsia="Times New Roman" w:hAnsi="Arial Narrow" w:cs="Times New Roman"/>
        </w:rPr>
        <w:t xml:space="preserve">Vulnerability profiling demonstrated </w:t>
      </w:r>
      <w:r w:rsidRPr="003F02AD">
        <w:rPr>
          <w:rFonts w:ascii="Arial Narrow" w:eastAsia="Times New Roman" w:hAnsi="Arial Narrow" w:cs="Times New Roman"/>
        </w:rPr>
        <w:t>an overall vulnerability rate of 24%, with conside</w:t>
      </w:r>
      <w:r w:rsidRPr="000E4E74">
        <w:rPr>
          <w:rFonts w:ascii="Arial Narrow" w:eastAsia="Times New Roman" w:hAnsi="Arial Narrow" w:cs="Times New Roman"/>
        </w:rPr>
        <w:t>rable variability between States and Regions</w:t>
      </w:r>
      <w:r w:rsidR="003F02AD" w:rsidRPr="003F02AD">
        <w:rPr>
          <w:rFonts w:ascii="Arial Narrow" w:eastAsia="Times New Roman" w:hAnsi="Arial Narrow" w:cs="Times New Roman"/>
        </w:rPr>
        <w:t>, and</w:t>
      </w:r>
      <w:r w:rsidRPr="003F02AD">
        <w:rPr>
          <w:rFonts w:ascii="Arial Narrow" w:eastAsia="Times New Roman" w:hAnsi="Arial Narrow" w:cs="Times New Roman"/>
        </w:rPr>
        <w:t xml:space="preserve"> </w:t>
      </w:r>
      <w:r w:rsidRPr="003F02AD">
        <w:rPr>
          <w:rFonts w:ascii="Arial Narrow" w:eastAsia="Times New Roman" w:hAnsi="Arial Narrow" w:cs="Times New Roman"/>
          <w:b/>
        </w:rPr>
        <w:t>f</w:t>
      </w:r>
      <w:r w:rsidRPr="000E4E74">
        <w:rPr>
          <w:rFonts w:ascii="Arial Narrow" w:eastAsia="Times New Roman" w:hAnsi="Arial Narrow" w:cs="Times New Roman"/>
          <w:b/>
        </w:rPr>
        <w:t>emale headed households, households dependent on casual labour as their primary income source, landless households, households with persons with disabilities, and households in fishing communities all demonstrat</w:t>
      </w:r>
      <w:r w:rsidRPr="003F02AD">
        <w:rPr>
          <w:rFonts w:ascii="Arial Narrow" w:eastAsia="Times New Roman" w:hAnsi="Arial Narrow" w:cs="Times New Roman"/>
          <w:b/>
        </w:rPr>
        <w:t xml:space="preserve">ing </w:t>
      </w:r>
      <w:r w:rsidRPr="000E4E74">
        <w:rPr>
          <w:rFonts w:ascii="Arial Narrow" w:eastAsia="Times New Roman" w:hAnsi="Arial Narrow" w:cs="Times New Roman"/>
          <w:b/>
        </w:rPr>
        <w:t>higher levels of vulnerability</w:t>
      </w:r>
      <w:r w:rsidRPr="000E4E74">
        <w:rPr>
          <w:rFonts w:ascii="Arial Narrow" w:eastAsia="Times New Roman" w:hAnsi="Arial Narrow" w:cs="Times New Roman"/>
        </w:rPr>
        <w:t xml:space="preserve">. </w:t>
      </w:r>
    </w:p>
    <w:p w:rsidR="003F02AD" w:rsidRPr="003F02AD" w:rsidRDefault="000E4E74" w:rsidP="000E4E74">
      <w:pPr>
        <w:pStyle w:val="ListParagraph"/>
        <w:numPr>
          <w:ilvl w:val="0"/>
          <w:numId w:val="2"/>
        </w:numPr>
        <w:suppressAutoHyphens/>
        <w:spacing w:after="0"/>
        <w:jc w:val="both"/>
        <w:rPr>
          <w:rFonts w:ascii="Arial Narrow" w:eastAsia="Times New Roman" w:hAnsi="Arial Narrow" w:cs="bit"/>
        </w:rPr>
      </w:pPr>
      <w:r w:rsidRPr="000E4E74">
        <w:rPr>
          <w:rFonts w:ascii="Arial Narrow" w:eastAsia="Times New Roman" w:hAnsi="Arial Narrow" w:cs="Times New Roman"/>
        </w:rPr>
        <w:t>Social Protection: Over 80% of rural households describe having accessed social assi</w:t>
      </w:r>
      <w:r w:rsidR="003F02AD" w:rsidRPr="003F02AD">
        <w:rPr>
          <w:rFonts w:ascii="Arial Narrow" w:eastAsia="Times New Roman" w:hAnsi="Arial Narrow" w:cs="Times New Roman"/>
        </w:rPr>
        <w:t xml:space="preserve">stance. </w:t>
      </w:r>
      <w:r w:rsidRPr="000E4E74">
        <w:rPr>
          <w:rFonts w:ascii="Arial Narrow" w:eastAsia="Times New Roman" w:hAnsi="Arial Narrow" w:cs="Times New Roman"/>
        </w:rPr>
        <w:t xml:space="preserve">However, </w:t>
      </w:r>
      <w:r w:rsidRPr="000E4E74">
        <w:rPr>
          <w:rFonts w:ascii="Arial Narrow" w:eastAsia="Times New Roman" w:hAnsi="Arial Narrow" w:cs="Times New Roman"/>
          <w:b/>
        </w:rPr>
        <w:t>the vast majority of assistance is received in the form of loans (69%), and less than 25% of households reported ever accessing assistance of any kind from government sources</w:t>
      </w:r>
      <w:r w:rsidRPr="000E4E74">
        <w:rPr>
          <w:rFonts w:ascii="Arial Narrow" w:eastAsia="Times New Roman" w:hAnsi="Arial Narrow" w:cs="Times New Roman"/>
        </w:rPr>
        <w:t xml:space="preserve">. </w:t>
      </w:r>
      <w:r w:rsidRPr="003F02AD">
        <w:rPr>
          <w:rFonts w:ascii="Arial Narrow" w:eastAsia="Times New Roman" w:hAnsi="Arial Narrow" w:cs="Times New Roman"/>
        </w:rPr>
        <w:t>P</w:t>
      </w:r>
      <w:r w:rsidRPr="000E4E74">
        <w:rPr>
          <w:rFonts w:ascii="Arial Narrow" w:eastAsia="Times New Roman" w:hAnsi="Arial Narrow" w:cs="Times New Roman"/>
        </w:rPr>
        <w:t xml:space="preserve">oor households, female headed households, and households with low levels of social capital and participation are less likely to receive assistance of any kind, less likely to receive assistance from government or through insurance schemes, and more likely to receive assistance in the form of loans. </w:t>
      </w:r>
    </w:p>
    <w:p w:rsidR="000E4E74" w:rsidRPr="000E4E74" w:rsidRDefault="000E4E74" w:rsidP="000E4E74">
      <w:pPr>
        <w:pStyle w:val="ListParagraph"/>
        <w:numPr>
          <w:ilvl w:val="0"/>
          <w:numId w:val="2"/>
        </w:numPr>
        <w:suppressAutoHyphens/>
        <w:spacing w:after="0"/>
        <w:jc w:val="both"/>
        <w:rPr>
          <w:rFonts w:ascii="Arial Narrow" w:eastAsia="Times New Roman" w:hAnsi="Arial Narrow" w:cs="bit"/>
        </w:rPr>
      </w:pPr>
      <w:r w:rsidRPr="000E4E74">
        <w:rPr>
          <w:rFonts w:ascii="Arial Narrow" w:eastAsia="Times New Roman" w:hAnsi="Arial Narrow" w:cs="Times New Roman"/>
        </w:rPr>
        <w:t xml:space="preserve">Fishing communities: Households in fishing communities experience </w:t>
      </w:r>
      <w:r w:rsidRPr="000E4E74">
        <w:rPr>
          <w:rFonts w:ascii="Arial Narrow" w:eastAsia="Times New Roman" w:hAnsi="Arial Narrow" w:cs="Times New Roman"/>
          <w:b/>
        </w:rPr>
        <w:t>significantly higher rates of vulnerability</w:t>
      </w:r>
      <w:r w:rsidR="003F02AD" w:rsidRPr="003F02AD">
        <w:rPr>
          <w:rFonts w:ascii="Arial Narrow" w:eastAsia="Times New Roman" w:hAnsi="Arial Narrow" w:cs="Times New Roman"/>
          <w:b/>
        </w:rPr>
        <w:t xml:space="preserve"> and lower rates of access to both formal and informal social assistance</w:t>
      </w:r>
      <w:r w:rsidR="003F02AD" w:rsidRPr="003F02AD">
        <w:rPr>
          <w:rFonts w:ascii="Arial Narrow" w:eastAsia="Times New Roman" w:hAnsi="Arial Narrow" w:cs="Times New Roman"/>
        </w:rPr>
        <w:t xml:space="preserve"> </w:t>
      </w:r>
      <w:r w:rsidRPr="000E4E74">
        <w:rPr>
          <w:rFonts w:ascii="Arial Narrow" w:eastAsia="Times New Roman" w:hAnsi="Arial Narrow" w:cs="Times New Roman"/>
        </w:rPr>
        <w:t xml:space="preserve"> when compared with non-fishing communities</w:t>
      </w:r>
      <w:r w:rsidR="003F02AD" w:rsidRPr="003F02AD">
        <w:rPr>
          <w:rFonts w:ascii="Arial Narrow" w:eastAsia="Times New Roman" w:hAnsi="Arial Narrow" w:cs="Times New Roman"/>
        </w:rPr>
        <w:t xml:space="preserve">. </w:t>
      </w:r>
    </w:p>
    <w:p w:rsidR="003F02AD" w:rsidRPr="003F02AD" w:rsidRDefault="000E4E74" w:rsidP="000E4E74">
      <w:pPr>
        <w:numPr>
          <w:ilvl w:val="0"/>
          <w:numId w:val="2"/>
        </w:numPr>
        <w:contextualSpacing/>
        <w:jc w:val="both"/>
        <w:rPr>
          <w:rFonts w:ascii="Arial Narrow" w:eastAsia="Times New Roman" w:hAnsi="Arial Narrow" w:cs="Times New Roman"/>
        </w:rPr>
      </w:pPr>
      <w:r w:rsidRPr="000E4E74">
        <w:rPr>
          <w:rFonts w:ascii="Arial Narrow" w:eastAsia="Times New Roman" w:hAnsi="Arial Narrow" w:cs="Times New Roman"/>
        </w:rPr>
        <w:t xml:space="preserve">Debt: More than one in every ten households spends at least 10% of their income on debt repayments, and this is linked to a reduction in investment in education and livelihoods. Debt repayments consume nearly 12% of all household income, and over half of households are borrowing primarily from high risk lenders. </w:t>
      </w:r>
      <w:r w:rsidRPr="000E4E74">
        <w:rPr>
          <w:rFonts w:ascii="Arial Narrow" w:eastAsia="Times New Roman" w:hAnsi="Arial Narrow" w:cs="Times New Roman"/>
          <w:b/>
        </w:rPr>
        <w:t>Nearly 6% of households across the nation can be labeled as “high risk.”</w:t>
      </w:r>
      <w:r w:rsidRPr="000E4E74">
        <w:rPr>
          <w:rFonts w:ascii="Arial Narrow" w:eastAsia="Times New Roman" w:hAnsi="Arial Narrow" w:cs="Times New Roman"/>
        </w:rPr>
        <w:t xml:space="preserve">  When asked about priority interventions for poverty reduction, respondents most frequently prioritized low or no-interest loans. </w:t>
      </w:r>
    </w:p>
    <w:p w:rsidR="000E4E74" w:rsidRPr="000E4E74" w:rsidRDefault="000E4E74" w:rsidP="000E4E74">
      <w:pPr>
        <w:numPr>
          <w:ilvl w:val="0"/>
          <w:numId w:val="2"/>
        </w:numPr>
        <w:contextualSpacing/>
        <w:jc w:val="both"/>
        <w:rPr>
          <w:rFonts w:ascii="Arial Narrow" w:eastAsia="Times New Roman" w:hAnsi="Arial Narrow" w:cs="Times New Roman"/>
        </w:rPr>
      </w:pPr>
      <w:r w:rsidRPr="000E4E74">
        <w:rPr>
          <w:rFonts w:ascii="Arial Narrow" w:eastAsia="Times New Roman" w:hAnsi="Arial Narrow" w:cs="Times New Roman"/>
        </w:rPr>
        <w:t xml:space="preserve">Social capital: Rural communities demonstrate high levels of social capital, </w:t>
      </w:r>
      <w:r w:rsidR="003F02AD" w:rsidRPr="003F02AD">
        <w:rPr>
          <w:rFonts w:ascii="Arial Narrow" w:eastAsia="Times New Roman" w:hAnsi="Arial Narrow" w:cs="Times New Roman"/>
        </w:rPr>
        <w:t>with</w:t>
      </w:r>
      <w:r w:rsidRPr="000E4E74">
        <w:rPr>
          <w:rFonts w:ascii="Arial Narrow" w:eastAsia="Times New Roman" w:hAnsi="Arial Narrow" w:cs="Times New Roman"/>
        </w:rPr>
        <w:t xml:space="preserve"> active traditional social organizations in 63% of all communities. The level of engagement at community level was strongly associated with having accessed social assistance from community organizations</w:t>
      </w:r>
      <w:r w:rsidR="003F02AD">
        <w:rPr>
          <w:rFonts w:ascii="Arial Narrow" w:eastAsia="Times New Roman" w:hAnsi="Arial Narrow" w:cs="Times New Roman"/>
        </w:rPr>
        <w:t xml:space="preserve">. </w:t>
      </w:r>
      <w:r w:rsidRPr="000E4E74">
        <w:rPr>
          <w:rFonts w:ascii="Arial Narrow" w:eastAsia="Times New Roman" w:hAnsi="Arial Narrow" w:cs="Times New Roman"/>
        </w:rPr>
        <w:t xml:space="preserve"> However</w:t>
      </w:r>
      <w:r w:rsidR="003F02AD" w:rsidRPr="003F02AD">
        <w:rPr>
          <w:rFonts w:ascii="Arial Narrow" w:eastAsia="Times New Roman" w:hAnsi="Arial Narrow" w:cs="Times New Roman"/>
        </w:rPr>
        <w:t xml:space="preserve"> there was</w:t>
      </w:r>
      <w:r w:rsidRPr="000E4E74">
        <w:rPr>
          <w:rFonts w:ascii="Arial Narrow" w:eastAsia="Times New Roman" w:hAnsi="Arial Narrow" w:cs="Times New Roman"/>
        </w:rPr>
        <w:t xml:space="preserve"> relatively low levels of participation by women and persons with disabilities </w:t>
      </w:r>
      <w:r w:rsidR="003F02AD" w:rsidRPr="003F02AD">
        <w:rPr>
          <w:rFonts w:ascii="Arial Narrow" w:eastAsia="Times New Roman" w:hAnsi="Arial Narrow" w:cs="Times New Roman"/>
        </w:rPr>
        <w:t>in community events.</w:t>
      </w:r>
    </w:p>
    <w:p w:rsidR="003F02AD" w:rsidRDefault="000E4E74" w:rsidP="003F02AD">
      <w:pPr>
        <w:numPr>
          <w:ilvl w:val="0"/>
          <w:numId w:val="2"/>
        </w:numPr>
        <w:jc w:val="both"/>
        <w:rPr>
          <w:rFonts w:ascii="Arial Narrow" w:eastAsia="Times New Roman" w:hAnsi="Arial Narrow" w:cs="Times New Roman"/>
        </w:rPr>
      </w:pPr>
      <w:r w:rsidRPr="000E4E74">
        <w:rPr>
          <w:rFonts w:ascii="Arial Narrow" w:eastAsia="Times New Roman" w:hAnsi="Arial Narrow" w:cs="Times New Roman"/>
        </w:rPr>
        <w:t xml:space="preserve">Landlessness is associated with high degrees of household vulnerability, with </w:t>
      </w:r>
      <w:r w:rsidRPr="000E4E74">
        <w:rPr>
          <w:rFonts w:ascii="Arial Narrow" w:eastAsia="Times New Roman" w:hAnsi="Arial Narrow" w:cs="Times New Roman"/>
          <w:b/>
        </w:rPr>
        <w:t>landless households experiencing over twice the overall vulnerability rates of landed households</w:t>
      </w:r>
      <w:r w:rsidRPr="000E4E74">
        <w:rPr>
          <w:rFonts w:ascii="Arial Narrow" w:eastAsia="Times New Roman" w:hAnsi="Arial Narrow" w:cs="Times New Roman"/>
        </w:rPr>
        <w:t xml:space="preserve"> and higher rates of vulnerability in all areas except livelihood diversity. In the rural communities surveyed, nearly half (49%) of households reported that they did not own land, and just over half reported having planted any kind of crop the previous year. </w:t>
      </w:r>
    </w:p>
    <w:p w:rsidR="000E4E74" w:rsidRPr="000E4E74" w:rsidRDefault="000E4E74" w:rsidP="003F02AD">
      <w:pPr>
        <w:numPr>
          <w:ilvl w:val="0"/>
          <w:numId w:val="2"/>
        </w:numPr>
        <w:jc w:val="both"/>
        <w:rPr>
          <w:rFonts w:ascii="Arial Narrow" w:eastAsia="Times New Roman" w:hAnsi="Arial Narrow" w:cs="Times New Roman"/>
        </w:rPr>
      </w:pPr>
      <w:r w:rsidRPr="000E4E74">
        <w:rPr>
          <w:rFonts w:ascii="Arial Narrow" w:eastAsia="Times New Roman" w:hAnsi="Arial Narrow" w:cs="Times New Roman"/>
        </w:rPr>
        <w:t>The majority of rural households are engaged in agriculture or related livelihoods. However</w:t>
      </w:r>
      <w:r w:rsidRPr="000E4E74">
        <w:rPr>
          <w:rFonts w:ascii="Arial Narrow" w:eastAsia="Times New Roman" w:hAnsi="Arial Narrow" w:cs="Times New Roman"/>
          <w:b/>
        </w:rPr>
        <w:t>, in over on-third of households, the main income source was reported as casual labour, and more than half of all rural households have only one income source. Less 20% of households reported any regular income.</w:t>
      </w:r>
      <w:r w:rsidRPr="000E4E74">
        <w:rPr>
          <w:rFonts w:ascii="Arial Narrow" w:eastAsia="Times New Roman" w:hAnsi="Arial Narrow" w:cs="Times New Roman"/>
        </w:rPr>
        <w:t xml:space="preserve"> Livelihood diversity is strongly linked to higher economic status, lower poverty rates, higher levels of social capital, and higher rates of school attendance by children. </w:t>
      </w:r>
    </w:p>
    <w:p w:rsidR="000E4E74" w:rsidRPr="003F02AD" w:rsidRDefault="000E4E74"/>
    <w:sectPr w:rsidR="000E4E74" w:rsidRPr="003F02AD" w:rsidSect="003F02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2F3" w:rsidRDefault="003712F3" w:rsidP="000E4E74">
      <w:pPr>
        <w:spacing w:after="0" w:line="240" w:lineRule="auto"/>
      </w:pPr>
      <w:r>
        <w:separator/>
      </w:r>
    </w:p>
  </w:endnote>
  <w:endnote w:type="continuationSeparator" w:id="0">
    <w:p w:rsidR="003712F3" w:rsidRDefault="003712F3" w:rsidP="000E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it">
    <w:charset w:val="00"/>
    <w:family w:val="swiss"/>
    <w:pitch w:val="variable"/>
    <w:sig w:usb0="A000002F" w:usb1="0000000A" w:usb2="000004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2F3" w:rsidRDefault="003712F3" w:rsidP="000E4E74">
      <w:pPr>
        <w:spacing w:after="0" w:line="240" w:lineRule="auto"/>
      </w:pPr>
      <w:r>
        <w:separator/>
      </w:r>
    </w:p>
  </w:footnote>
  <w:footnote w:type="continuationSeparator" w:id="0">
    <w:p w:rsidR="003712F3" w:rsidRDefault="003712F3" w:rsidP="000E4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7444E"/>
    <w:multiLevelType w:val="hybridMultilevel"/>
    <w:tmpl w:val="BB9E46D6"/>
    <w:lvl w:ilvl="0" w:tplc="0B12F698">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C371D"/>
    <w:multiLevelType w:val="hybridMultilevel"/>
    <w:tmpl w:val="C1123F98"/>
    <w:lvl w:ilvl="0" w:tplc="4DE8317C">
      <w:start w:val="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7676B"/>
    <w:multiLevelType w:val="hybridMultilevel"/>
    <w:tmpl w:val="D5D012D4"/>
    <w:lvl w:ilvl="0" w:tplc="BD5048A0">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74"/>
    <w:rsid w:val="000E4E74"/>
    <w:rsid w:val="003712F3"/>
    <w:rsid w:val="003F02AD"/>
    <w:rsid w:val="00887707"/>
    <w:rsid w:val="00A37F3D"/>
    <w:rsid w:val="00AC1270"/>
    <w:rsid w:val="00B93EB0"/>
    <w:rsid w:val="00BA10B5"/>
    <w:rsid w:val="00BA16F5"/>
    <w:rsid w:val="00DA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E4E74"/>
    <w:pPr>
      <w:spacing w:before="240" w:after="80"/>
      <w:outlineLvl w:val="1"/>
    </w:pPr>
    <w:rPr>
      <w:rFonts w:ascii="Calibri" w:eastAsia="Times New Roman" w:hAnsi="Calibri" w:cs="Times New Roman"/>
      <w:smallCaps/>
      <w:spacing w:val="5"/>
      <w:sz w:val="28"/>
      <w:szCs w:val="28"/>
    </w:rPr>
  </w:style>
  <w:style w:type="paragraph" w:styleId="Heading3">
    <w:name w:val="heading 3"/>
    <w:basedOn w:val="Normal"/>
    <w:next w:val="Normal"/>
    <w:link w:val="Heading3Char"/>
    <w:uiPriority w:val="9"/>
    <w:unhideWhenUsed/>
    <w:qFormat/>
    <w:rsid w:val="000E4E74"/>
    <w:pPr>
      <w:spacing w:after="0"/>
      <w:outlineLvl w:val="2"/>
    </w:pPr>
    <w:rPr>
      <w:rFonts w:ascii="Calibri" w:eastAsia="Times New Roman" w:hAnsi="Calibri" w:cs="Times New Roman"/>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E74"/>
    <w:rPr>
      <w:sz w:val="20"/>
      <w:szCs w:val="20"/>
    </w:rPr>
  </w:style>
  <w:style w:type="character" w:styleId="FootnoteReference">
    <w:name w:val="footnote reference"/>
    <w:uiPriority w:val="99"/>
    <w:semiHidden/>
    <w:unhideWhenUsed/>
    <w:rsid w:val="000E4E74"/>
    <w:rPr>
      <w:vertAlign w:val="superscript"/>
    </w:rPr>
  </w:style>
  <w:style w:type="character" w:customStyle="1" w:styleId="Heading2Char">
    <w:name w:val="Heading 2 Char"/>
    <w:basedOn w:val="DefaultParagraphFont"/>
    <w:link w:val="Heading2"/>
    <w:uiPriority w:val="9"/>
    <w:rsid w:val="000E4E74"/>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uiPriority w:val="9"/>
    <w:rsid w:val="000E4E74"/>
    <w:rPr>
      <w:rFonts w:ascii="Calibri" w:eastAsia="Times New Roman" w:hAnsi="Calibri" w:cs="Times New Roman"/>
      <w:smallCaps/>
      <w:spacing w:val="5"/>
      <w:sz w:val="24"/>
      <w:szCs w:val="24"/>
    </w:rPr>
  </w:style>
  <w:style w:type="paragraph" w:styleId="ListParagraph">
    <w:name w:val="List Paragraph"/>
    <w:basedOn w:val="Normal"/>
    <w:uiPriority w:val="34"/>
    <w:qFormat/>
    <w:rsid w:val="000E4E74"/>
    <w:pPr>
      <w:ind w:left="720"/>
      <w:contextualSpacing/>
    </w:pPr>
  </w:style>
  <w:style w:type="paragraph" w:styleId="NoSpacing">
    <w:name w:val="No Spacing"/>
    <w:uiPriority w:val="1"/>
    <w:qFormat/>
    <w:rsid w:val="003F02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E4E74"/>
    <w:pPr>
      <w:spacing w:before="240" w:after="80"/>
      <w:outlineLvl w:val="1"/>
    </w:pPr>
    <w:rPr>
      <w:rFonts w:ascii="Calibri" w:eastAsia="Times New Roman" w:hAnsi="Calibri" w:cs="Times New Roman"/>
      <w:smallCaps/>
      <w:spacing w:val="5"/>
      <w:sz w:val="28"/>
      <w:szCs w:val="28"/>
    </w:rPr>
  </w:style>
  <w:style w:type="paragraph" w:styleId="Heading3">
    <w:name w:val="heading 3"/>
    <w:basedOn w:val="Normal"/>
    <w:next w:val="Normal"/>
    <w:link w:val="Heading3Char"/>
    <w:uiPriority w:val="9"/>
    <w:unhideWhenUsed/>
    <w:qFormat/>
    <w:rsid w:val="000E4E74"/>
    <w:pPr>
      <w:spacing w:after="0"/>
      <w:outlineLvl w:val="2"/>
    </w:pPr>
    <w:rPr>
      <w:rFonts w:ascii="Calibri" w:eastAsia="Times New Roman" w:hAnsi="Calibri" w:cs="Times New Roman"/>
      <w:smallCaps/>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E74"/>
    <w:rPr>
      <w:sz w:val="20"/>
      <w:szCs w:val="20"/>
    </w:rPr>
  </w:style>
  <w:style w:type="character" w:styleId="FootnoteReference">
    <w:name w:val="footnote reference"/>
    <w:uiPriority w:val="99"/>
    <w:semiHidden/>
    <w:unhideWhenUsed/>
    <w:rsid w:val="000E4E74"/>
    <w:rPr>
      <w:vertAlign w:val="superscript"/>
    </w:rPr>
  </w:style>
  <w:style w:type="character" w:customStyle="1" w:styleId="Heading2Char">
    <w:name w:val="Heading 2 Char"/>
    <w:basedOn w:val="DefaultParagraphFont"/>
    <w:link w:val="Heading2"/>
    <w:uiPriority w:val="9"/>
    <w:rsid w:val="000E4E74"/>
    <w:rPr>
      <w:rFonts w:ascii="Calibri" w:eastAsia="Times New Roman" w:hAnsi="Calibri" w:cs="Times New Roman"/>
      <w:smallCaps/>
      <w:spacing w:val="5"/>
      <w:sz w:val="28"/>
      <w:szCs w:val="28"/>
    </w:rPr>
  </w:style>
  <w:style w:type="character" w:customStyle="1" w:styleId="Heading3Char">
    <w:name w:val="Heading 3 Char"/>
    <w:basedOn w:val="DefaultParagraphFont"/>
    <w:link w:val="Heading3"/>
    <w:uiPriority w:val="9"/>
    <w:rsid w:val="000E4E74"/>
    <w:rPr>
      <w:rFonts w:ascii="Calibri" w:eastAsia="Times New Roman" w:hAnsi="Calibri" w:cs="Times New Roman"/>
      <w:smallCaps/>
      <w:spacing w:val="5"/>
      <w:sz w:val="24"/>
      <w:szCs w:val="24"/>
    </w:rPr>
  </w:style>
  <w:style w:type="paragraph" w:styleId="ListParagraph">
    <w:name w:val="List Paragraph"/>
    <w:basedOn w:val="Normal"/>
    <w:uiPriority w:val="34"/>
    <w:qFormat/>
    <w:rsid w:val="000E4E74"/>
    <w:pPr>
      <w:ind w:left="720"/>
      <w:contextualSpacing/>
    </w:pPr>
  </w:style>
  <w:style w:type="paragraph" w:styleId="NoSpacing">
    <w:name w:val="No Spacing"/>
    <w:uiPriority w:val="1"/>
    <w:qFormat/>
    <w:rsid w:val="003F02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Abigail Bethany May SAMUELSEN</cp:lastModifiedBy>
  <cp:revision>2</cp:revision>
  <dcterms:created xsi:type="dcterms:W3CDTF">2016-04-19T06:50:00Z</dcterms:created>
  <dcterms:modified xsi:type="dcterms:W3CDTF">2016-04-19T06:50:00Z</dcterms:modified>
</cp:coreProperties>
</file>